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14"/>
        </w:tabs>
        <w:rPr>
          <w:rFonts w:ascii="Times New Roman" w:hAnsi="Times New Roman" w:cs="Times New Roman"/>
          <w:sz w:val="20"/>
        </w:rPr>
      </w:pPr>
      <w:bookmarkStart w:id="0" w:name="_GoBack"/>
      <w:bookmarkEnd w:id="0"/>
    </w:p>
    <w:p>
      <w:pPr>
        <w:tabs>
          <w:tab w:val="left" w:pos="3814"/>
        </w:tabs>
        <w:jc w:val="center"/>
        <w:rPr>
          <w:rFonts w:hint="default" w:ascii="Times New Roman" w:hAnsi="Times New Roman" w:cs="Times New Roman"/>
          <w:b/>
          <w:bCs/>
          <w:sz w:val="20"/>
        </w:rPr>
      </w:pPr>
      <w:r>
        <w:rPr>
          <w:rFonts w:hint="default" w:ascii="Times New Roman" w:hAnsi="Times New Roman" w:cs="Times New Roman"/>
          <w:b/>
          <w:bCs/>
          <w:sz w:val="20"/>
        </w:rPr>
        <w:t>PROGRESSION REAMENAGEE ANGLAIS 6e 2020-2021</w:t>
      </w:r>
    </w:p>
    <w:tbl>
      <w:tblPr>
        <w:tblStyle w:val="7"/>
        <w:tblW w:w="10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09"/>
        <w:gridCol w:w="1672"/>
        <w:gridCol w:w="2410"/>
        <w:gridCol w:w="326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Mois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Semaines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Thèmes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Compétences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Leçons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Nombre de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Séances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H/Unité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Sep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Période d’imprégnation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  <w:t>-Aperçu des pays parlant l’anglais dans le monde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  <w:t>-L’importance de l’anglais dans la sciences et les TICEs</w:t>
            </w:r>
          </w:p>
          <w:p>
            <w:pPr>
              <w:spacing w:after="0" w:line="259" w:lineRule="auto"/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  <w:t>-L’Alphabet en Anglais</w:t>
            </w:r>
          </w:p>
          <w:p>
            <w:pPr>
              <w:spacing w:after="0" w:line="259" w:lineRule="auto"/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  <w:t>- Chant de l’alphabet</w:t>
            </w:r>
          </w:p>
          <w:p>
            <w:pPr>
              <w:spacing w:after="0" w:line="259" w:lineRule="auto"/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  <w:t>-Epeler un mot en Anglais</w:t>
            </w:r>
          </w:p>
          <w:p>
            <w:pPr>
              <w:spacing w:after="0" w:line="259" w:lineRule="auto"/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  <w:t>-Les voyelles</w:t>
            </w:r>
          </w:p>
          <w:p>
            <w:pPr>
              <w:spacing w:after="0" w:line="259" w:lineRule="auto"/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  <w:t>-Les consonnes</w:t>
            </w:r>
          </w:p>
          <w:p>
            <w:pPr>
              <w:spacing w:after="0" w:line="259" w:lineRule="auto"/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  <w:t>-Les salutations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jc w:val="center"/>
              <w:rPr>
                <w:sz w:val="20"/>
                <w:szCs w:val="20"/>
                <w:lang w:eastAsia="fr-FR"/>
              </w:rPr>
            </w:pPr>
          </w:p>
          <w:p>
            <w:pPr>
              <w:pStyle w:val="8"/>
              <w:jc w:val="center"/>
              <w:rPr>
                <w:sz w:val="20"/>
                <w:szCs w:val="20"/>
                <w:lang w:eastAsia="fr-FR"/>
              </w:rPr>
            </w:pPr>
          </w:p>
          <w:p>
            <w:pPr>
              <w:pStyle w:val="8"/>
              <w:jc w:val="center"/>
              <w:rPr>
                <w:sz w:val="20"/>
                <w:szCs w:val="20"/>
                <w:lang w:eastAsia="fr-FR"/>
              </w:rPr>
            </w:pPr>
          </w:p>
          <w:p>
            <w:pPr>
              <w:pStyle w:val="8"/>
              <w:jc w:val="center"/>
              <w:rPr>
                <w:sz w:val="20"/>
                <w:szCs w:val="20"/>
                <w:lang w:eastAsia="fr-FR"/>
              </w:rPr>
            </w:pPr>
          </w:p>
          <w:p>
            <w:pPr>
              <w:pStyle w:val="8"/>
              <w:jc w:val="center"/>
              <w:rPr>
                <w:sz w:val="20"/>
                <w:szCs w:val="20"/>
                <w:lang w:eastAsia="fr-FR"/>
              </w:rPr>
            </w:pPr>
          </w:p>
          <w:p>
            <w:pPr>
              <w:pStyle w:val="8"/>
              <w:jc w:val="center"/>
              <w:rPr>
                <w:rFonts w:hint="default"/>
                <w:sz w:val="20"/>
                <w:szCs w:val="20"/>
                <w:lang w:eastAsia="fr-FR"/>
              </w:rPr>
            </w:pPr>
            <w:r>
              <w:rPr>
                <w:rFonts w:hint="default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restart"/>
            <w:tcBorders>
              <w:top w:val="single" w:color="00B0F0" w:sz="2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Oct</w:t>
            </w:r>
          </w:p>
        </w:tc>
        <w:tc>
          <w:tcPr>
            <w:tcW w:w="709" w:type="dxa"/>
            <w:vMerge w:val="restart"/>
            <w:tcBorders>
              <w:top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lang w:eastAsia="fr-FR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tcBorders>
              <w:bottom w:val="single" w:color="FFC000" w:sz="48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FFC000" w:sz="48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2" w:type="dxa"/>
            <w:gridSpan w:val="3"/>
            <w:tcBorders>
              <w:bottom w:val="single" w:color="FFC000" w:sz="4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Début du programme de 6ème</w:t>
            </w:r>
          </w:p>
        </w:tc>
        <w:tc>
          <w:tcPr>
            <w:tcW w:w="851" w:type="dxa"/>
            <w:tcBorders>
              <w:bottom w:val="single" w:color="FFC000" w:sz="48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bottom w:val="single" w:color="FFC000" w:sz="48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Nov</w:t>
            </w:r>
          </w:p>
        </w:tc>
        <w:tc>
          <w:tcPr>
            <w:tcW w:w="709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72" w:type="dxa"/>
            <w:vMerge w:val="restart"/>
            <w:tcBorders>
              <w:top w:val="single" w:color="FFC000" w:sz="48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A L’ECOLE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eastAsia="fr-FR"/>
              </w:rPr>
            </w:pPr>
          </w:p>
          <w:p>
            <w:pPr>
              <w:pStyle w:val="8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fr-FR"/>
              </w:rPr>
              <w:t>(At school)</w:t>
            </w:r>
          </w:p>
        </w:tc>
        <w:tc>
          <w:tcPr>
            <w:tcW w:w="2410" w:type="dxa"/>
            <w:vMerge w:val="restart"/>
            <w:tcBorders>
              <w:top w:val="single" w:color="FFC000" w:sz="48" w:space="0"/>
              <w:bottom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fr-FR"/>
              </w:rPr>
              <w:t>Traiter des situations relatives à la communication orale au moyen d’un langage très simple.</w:t>
            </w:r>
          </w:p>
        </w:tc>
        <w:tc>
          <w:tcPr>
            <w:tcW w:w="3260" w:type="dxa"/>
            <w:tcBorders>
              <w:top w:val="single" w:color="FFC000" w:sz="48" w:space="0"/>
              <w:bottom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  <w:lang w:eastAsia="fr-FR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Les salutations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lang w:eastAsia="fr-FR"/>
              </w:rPr>
              <w:t>(Greetings)</w:t>
            </w:r>
          </w:p>
        </w:tc>
        <w:tc>
          <w:tcPr>
            <w:tcW w:w="851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3</w:t>
            </w:r>
          </w:p>
          <w:p>
            <w:pPr>
              <w:pStyle w:val="8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2- Dans la salle de classe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lang w:eastAsia="fr-FR"/>
              </w:rPr>
              <w:t>(In the classroom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Révisions               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1</w:t>
            </w: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Evaluation                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fr-FR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fr-F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Déc</w:t>
            </w: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A LA MAISON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eastAsia="fr-FR"/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fr-FR"/>
              </w:rPr>
              <w:t>(At home)</w:t>
            </w:r>
          </w:p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  <w:lang w:eastAsia="fr-FR"/>
              </w:rPr>
              <w:t>Traiter des situations relatives à la communication orale au moyen d’un langage simple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1-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 xml:space="preserve"> La famille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lang w:eastAsia="fr-FR"/>
              </w:rPr>
              <w:t>(My family)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pStyle w:val="8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 w:eastAsia="fr-FR"/>
              </w:rPr>
              <w:t>Dans la cuisine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lang w:val="en-US" w:eastAsia="fr-FR"/>
              </w:rPr>
              <w:t>(In the kitchen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Evaluation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Jan</w:t>
            </w: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L’HEURE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ET LA DATE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eastAsia="fr-FR"/>
              </w:rPr>
            </w:pPr>
          </w:p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fr-FR"/>
              </w:rPr>
              <w:t>(Time and date)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3-.</w:t>
            </w:r>
            <w:r>
              <w:rPr>
                <w:rFonts w:ascii="Times New Roman" w:hAnsi="Times New Roman" w:cs="Times New Roman"/>
                <w:b/>
                <w:sz w:val="22"/>
                <w:szCs w:val="24"/>
                <w:lang w:eastAsia="fr-FR"/>
              </w:rPr>
              <w:t>Traiter des situations relatives à l’expression écrite au moyen d’un langage très simple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- La date</w:t>
            </w:r>
            <w:r>
              <w:rPr>
                <w:rFonts w:hint="default" w:ascii="Times New Roman" w:hAnsi="Times New Roman" w:cs="Times New Roman"/>
                <w:b/>
                <w:sz w:val="18"/>
                <w:szCs w:val="20"/>
                <w:lang w:eastAsia="fr-FR"/>
              </w:rPr>
              <w:t xml:space="preserve"> et l’heure (Date and Time)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2.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eastAsia="fr-FR"/>
              </w:rPr>
              <w:t>Le calendrier (Timetable)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Evaluation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7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METIERS  ET PROFESSIONS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eastAsia="fr-FR"/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fr-FR"/>
              </w:rPr>
              <w:t xml:space="preserve">(Jobs and </w:t>
            </w:r>
            <w:r>
              <w:rPr>
                <w:rFonts w:ascii="Times New Roman" w:hAnsi="Times New Roman" w:cs="Times New Roman"/>
                <w:sz w:val="16"/>
                <w:szCs w:val="20"/>
                <w:lang w:eastAsia="fr-FR"/>
              </w:rPr>
              <w:t>occupations)</w:t>
            </w:r>
          </w:p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4. Traiter des situations relatives à l’expression écrite au moyen d’un langage élaboré.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>1.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 xml:space="preserve">étiers et </w:t>
            </w:r>
            <w:r>
              <w:rPr>
                <w:rFonts w:hint="default" w:ascii="Times New Roman" w:hAnsi="Times New Roman" w:cs="Times New Roman"/>
                <w:b/>
                <w:sz w:val="18"/>
                <w:szCs w:val="20"/>
                <w:lang w:eastAsia="fr-FR"/>
              </w:rPr>
              <w:t>lieux de travail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lang w:eastAsia="fr-FR"/>
              </w:rPr>
              <w:t>(Jobs and occupations)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Fév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2.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eastAsia="fr-FR"/>
              </w:rPr>
              <w:t>Outils de travail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Evaluation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eastAsia="fr-FR"/>
              </w:rPr>
              <w:t>VETEMENTS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eastAsia="fr-FR"/>
              </w:rPr>
              <w:t>ET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fr-FR"/>
              </w:rPr>
              <w:t>COULEURS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eastAsia="fr-FR"/>
              </w:rPr>
            </w:pPr>
          </w:p>
          <w:p>
            <w:pPr>
              <w:pStyle w:val="8"/>
              <w:spacing w:line="276" w:lineRule="auto"/>
              <w:rPr>
                <w:rFonts w:ascii="Times New Roman" w:hAnsi="Times New Roman" w:eastAsia="Calibri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fr-FR"/>
              </w:rPr>
              <w:t>(Clothes and colours)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5. Traiter des situations relatives à l’écoute au moyen d’un langage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>1.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-Vêtements</w:t>
            </w:r>
            <w:r>
              <w:rPr>
                <w:rFonts w:hint="default" w:ascii="Times New Roman" w:hAnsi="Times New Roman" w:cs="Times New Roman"/>
                <w:b/>
                <w:sz w:val="18"/>
                <w:szCs w:val="20"/>
                <w:lang w:eastAsia="fr-FR"/>
              </w:rPr>
              <w:t xml:space="preserve"> et couleurs</w:t>
            </w:r>
          </w:p>
          <w:p>
            <w:pPr>
              <w:pStyle w:val="8"/>
              <w:spacing w:line="276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lang w:eastAsia="fr-FR"/>
              </w:rPr>
              <w:t>(Clothes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20"/>
                <w:lang w:eastAsia="fr-FR"/>
              </w:rPr>
              <w:t xml:space="preserve"> and colours )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Mars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Buying clothes (Chez le marchand de vêtements)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Correction de l’évaluation et remédiation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4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  <w:lang w:eastAsia="fr-FR"/>
              </w:rPr>
              <w:t>NOURRITURE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eastAsia="fr-FR"/>
              </w:rPr>
              <w:t>ET BOISSONS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eastAsia="fr-FR"/>
              </w:rPr>
            </w:pPr>
          </w:p>
          <w:p>
            <w:pPr>
              <w:pStyle w:val="8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fr-FR"/>
              </w:rPr>
              <w:t>(Food and drinks)</w:t>
            </w:r>
          </w:p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color="00B0F0" w:sz="2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6. Traiter des situations relatives à l’écoute au moyen d’un langage élaboré.</w:t>
            </w:r>
          </w:p>
        </w:tc>
        <w:tc>
          <w:tcPr>
            <w:tcW w:w="3260" w:type="dxa"/>
            <w:tcBorders>
              <w:top w:val="single" w:color="00B0F0" w:sz="24" w:space="0"/>
            </w:tcBorders>
            <w:vAlign w:val="center"/>
          </w:tcPr>
          <w:p>
            <w:pPr>
              <w:pStyle w:val="8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1-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Repas et boissons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lang w:eastAsia="fr-FR"/>
              </w:rPr>
              <w:t>(Meals and drinks)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72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2-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eastAsia="fr-FR"/>
              </w:rPr>
              <w:t>Recettes de cuisine (recipesà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restart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Avril</w:t>
            </w:r>
          </w:p>
        </w:tc>
        <w:tc>
          <w:tcPr>
            <w:tcW w:w="709" w:type="dxa"/>
            <w:vMerge w:val="restar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72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Révisions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1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Evaluation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4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  <w:lang w:eastAsia="fr-FR"/>
              </w:rPr>
              <w:t>ENVIRONNEMENT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ET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SANTE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eastAsia="fr-FR"/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fr-FR"/>
              </w:rPr>
              <w:t xml:space="preserve">(Health and </w:t>
            </w:r>
            <w:r>
              <w:rPr>
                <w:rFonts w:ascii="Times New Roman" w:hAnsi="Times New Roman" w:cs="Times New Roman"/>
                <w:sz w:val="16"/>
                <w:szCs w:val="20"/>
                <w:lang w:eastAsia="fr-FR"/>
              </w:rPr>
              <w:t>environment)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  <w:lang w:eastAsia="fr-FR"/>
              </w:rPr>
              <w:t>Traiter des situations relatives à la compréhension d’un texte écrit au moyen d’un langage très simple.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1-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 xml:space="preserve"> Les parties du corps et hygiène corporelle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lang w:val="en-US" w:eastAsia="fr-FR"/>
              </w:rPr>
              <w:t>(Hygiene and the parts of the body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2-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- Insalubrité et maladies courantes</w:t>
            </w: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lang w:eastAsia="fr-FR"/>
              </w:rPr>
              <w:t>(Insalubrity and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20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lang w:eastAsia="fr-FR"/>
              </w:rPr>
              <w:t>common disease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20"/>
                <w:lang w:eastAsia="fr-FR"/>
              </w:rPr>
              <w:t>s)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restart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</w:t>
            </w:r>
          </w:p>
        </w:tc>
        <w:tc>
          <w:tcPr>
            <w:tcW w:w="709" w:type="dxa"/>
            <w:vMerge w:val="restar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Evaluation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72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fr-FR"/>
              </w:rPr>
              <w:t>UNITE 8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>JEUX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 w:eastAsia="fr-FR"/>
              </w:rPr>
              <w:t xml:space="preserve"> ET SPORTS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 w:eastAsia="fr-F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 w:eastAsia="fr-FR"/>
              </w:rPr>
              <w:t>(Sports and game</w:t>
            </w:r>
            <w:r>
              <w:rPr>
                <w:rFonts w:hint="default" w:ascii="Times New Roman" w:hAnsi="Times New Roman" w:cs="Times New Roman"/>
                <w:sz w:val="18"/>
                <w:szCs w:val="20"/>
                <w:lang w:eastAsia="fr-FR"/>
              </w:rPr>
              <w:t>s)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  <w:lang w:eastAsia="fr-FR"/>
              </w:rPr>
              <w:t>Traiter des situations relatives à la compréhension d’un texte écrit au moyen d’un langage simple.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>1-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eastAsia="fr-FR"/>
              </w:rPr>
              <w:t xml:space="preserve"> L’importance du sport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lang w:eastAsia="fr-FR"/>
              </w:rPr>
              <w:t>(The importance  of sport)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rPr>
                <w:rFonts w:hint="default"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>2-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eastAsia="fr-FR"/>
              </w:rPr>
              <w:t>Les jeux traditionnels (Traditional games)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Evaluation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1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>Correction de l’évaluation et remédiation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restart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Juin</w:t>
            </w:r>
          </w:p>
        </w:tc>
        <w:tc>
          <w:tcPr>
            <w:tcW w:w="709" w:type="dxa"/>
            <w:vMerge w:val="restart"/>
            <w:tcBorders>
              <w:top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72" w:type="dxa"/>
            <w:tcBorders>
              <w:top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Révisions générales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gridSpan w:val="2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gridSpan w:val="2"/>
            <w:vMerge w:val="continue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3814"/>
        </w:tabs>
        <w:rPr>
          <w:rFonts w:ascii="Times New Roman" w:hAnsi="Times New Roman" w:cs="Times New Roman"/>
          <w:sz w:val="20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8395"/>
    <w:multiLevelType w:val="singleLevel"/>
    <w:tmpl w:val="406F839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2196B"/>
    <w:rsid w:val="6E2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 w:line="276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eastAsia="fr-FR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table" w:styleId="7">
    <w:name w:val="Table Grid"/>
    <w:basedOn w:val="6"/>
    <w:qFormat/>
    <w:uiPriority w:val="39"/>
    <w:pPr>
      <w:spacing w:after="0" w:line="240" w:lineRule="auto"/>
    </w:pPr>
    <w:rPr>
      <w:sz w:val="20"/>
      <w:szCs w:val="20"/>
      <w:lang w:eastAsia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2020-09-10T15:40:00Z</dcterms:created>
  <dc:creator>Diaoussié</dc:creator>
  <cp:lastModifiedBy>Diaoussié</cp:lastModifiedBy>
  <dcterms:modified xsi:type="dcterms:W3CDTF">2020-09-10T15:41:48Z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